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Pornez direct cu două limite importante: analiza de mai jos e una teoretică, bazată pe faptele descrise în cererea de chemare în judecată și în discuțiile noastre anterioare, nu o calificare oficială; doar organele de urmărire penală pot stabili încadrarea juridică exactă.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să împart răspunsul în:</w:t>
      </w:r>
    </w:p>
    <w:p w:rsidR="009007C2" w:rsidRPr="009007C2" w:rsidRDefault="009007C2" w:rsidP="0090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Ce rezultă (pe scurt) din cererea de chemare în judecată</w:t>
      </w:r>
    </w:p>
    <w:p w:rsidR="009007C2" w:rsidRPr="009007C2" w:rsidRDefault="009007C2" w:rsidP="0090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Posibile infracțiuni de fals (în legătură cu listele de întreținere și cotele indivize)</w:t>
      </w:r>
    </w:p>
    <w:p w:rsidR="009007C2" w:rsidRPr="009007C2" w:rsidRDefault="009007C2" w:rsidP="0090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Posibile infracțiuni de serviciu (abuz în serviciu, delapidare) în legătură cu AP</w:t>
      </w:r>
    </w:p>
    <w:p w:rsidR="009007C2" w:rsidRPr="009007C2" w:rsidRDefault="009007C2" w:rsidP="0090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Legătura cu alte fapte discutate împreună (sponsorizări, lipsa cărții de imobil etc.)</w:t>
      </w:r>
    </w:p>
    <w:p w:rsidR="009007C2" w:rsidRPr="009007C2" w:rsidRDefault="009007C2" w:rsidP="0090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Ce fapte par „cele mai penale” și ce ar trebui clarificat/probat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1. Ce rezultă, în esență, din chemarea în judecată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cererea formulată de ETHOS RELAȚII PUBLICE SRL împotriva Asociației de Proprietari „RESIDENZ – CARTIERUL GERMAN” rezultă, foarte condensat:</w:t>
      </w:r>
    </w:p>
    <w:p w:rsidR="009007C2" w:rsidRPr="009007C2" w:rsidRDefault="009007C2" w:rsidP="0090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Toate cheltuielile de întreținere sunt repartizate exclusiv pe cotă parte indiviză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nu pe număr de persoane, deși Legea nr. 196/2018 și Statutul AP prevăd categorii de cheltuieli care trebuie obligatoriu repartizate pe persoane (electricitate părți comune, apă părți comune, diferențe de branșament, etc.).</w:t>
      </w:r>
    </w:p>
    <w:p w:rsidR="009007C2" w:rsidRPr="009007C2" w:rsidRDefault="009007C2" w:rsidP="0090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Cota-parte indiviză pentru ap. 116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a fost, în Acordul de asociere 2009, 0,16; în prezent figurează 0,206,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fără vreo justificare documentară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(nu există un calcul centralizat și documente comunicate proprietarilor). Mai mult, dezvoltarea ulterioară a ansamblului (noi blocuri) ar fi trebuit, logic, să scadă, nu să crească cota indiviză a unui apartament determinat.</w:t>
      </w:r>
    </w:p>
    <w:p w:rsidR="009007C2" w:rsidRPr="009007C2" w:rsidRDefault="009007C2" w:rsidP="0090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Se susține 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nu sunt incluse în calculul cotei indivize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toate proprietățile reale ale fiecărui proprietar (locuri de parcare, grădini la parter etc.), contrar legii și Statutului (art. 30.5–30.7 – cota indiviză trebuie să reflecte toate bunurile comune și exclusivitatea de folosință).</w:t>
      </w:r>
    </w:p>
    <w:p w:rsidR="009007C2" w:rsidRPr="009007C2" w:rsidRDefault="009007C2" w:rsidP="0090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Asociația nu a prezentat nici până acum un centralizator complet al tuturor proprietăților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din ansamblu și al cotelor corespunzătoare, deși au fost formulate multiple cereri scrise.</w:t>
      </w:r>
    </w:p>
    <w:p w:rsidR="009007C2" w:rsidRPr="009007C2" w:rsidRDefault="009007C2" w:rsidP="0090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Pe baza acestor calcule netransparente,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AP încasează lunar sume pe care reclamantul le consideră nelegale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atât prin modul de repartizare (număr persoane zero), cât și prin nivelul cotei indivize.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Cererea are obiect civil (obligația AP de a recalcula/repartiza și de a restitui diferențele), dar faptele descrise ridică inevitabil problema unor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posibile infracțiuni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.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lastRenderedPageBreak/>
        <w:t>2. Posibile infracțiuni de fals legate de listele de întreținere și cotele indivize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2.1. Cadrul legal – ce înseamnă fals în înscrisuri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Codul penal distinge, în esență:</w:t>
      </w:r>
    </w:p>
    <w:p w:rsidR="009007C2" w:rsidRPr="009007C2" w:rsidRDefault="009007C2" w:rsidP="00900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 intelectual – art. 321 CP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Falsificarea unui înscris oficial cu prilejul întocmirii acestuia, de către un funcţionar public [...] prin atestarea unor fapte sau împrejurări necorespunzătoare adevărului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se pedepsește cu închisoare. (</w:t>
      </w:r>
      <w:hyperlink r:id="rId8" w:tooltip="Capitolul III – Falsuri în înscrisuri – Codul penal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coduri.juridice.ro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Falsul în înscrisuri sub semnătură privată – art. 322 CP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Falsificarea unui înscris sub semnătură privată [...] dacă făptuitorul foloseşte înscrisul falsificat [...] în vederea producerii unei consecinţe juridice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se pedepsește cu închisoare sau amendă. (</w:t>
      </w:r>
      <w:hyperlink r:id="rId9" w:tooltip="Capitolul III – Falsuri în înscrisuri – Codul penal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coduri.juridice.ro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Uzul de fals – art. 323 CP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Folosirea unui înscris oficial ori sub semnătură privată, cunoscând că este fals, în vederea producerii unei consecinţe juridice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este la rândul său incriminată. (</w:t>
      </w:r>
      <w:hyperlink r:id="rId10" w:tooltip="Art. 323 Noul Cod Penal Uzul de fals Falsuri în înscrisuri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Cheia, pentru tine, este:</w:t>
      </w:r>
    </w:p>
    <w:p w:rsidR="009007C2" w:rsidRPr="009007C2" w:rsidRDefault="009007C2" w:rsidP="009007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listele de întreținere, centralizatoarele și eventualele decizii ale AP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(în format scris) conțin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factuale neadevărate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(ex. o cotă indiviză calculată arbitrar, neconform cu documentația cadastrală și cu realitatea)</w:t>
      </w:r>
    </w:p>
    <w:p w:rsidR="009007C2" w:rsidRPr="009007C2" w:rsidRDefault="009007C2" w:rsidP="009007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și dacă aceste înscrisuri sunt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folosite efectiv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pentru a produce consecințe juridice (obligarea proprietarilor la plată).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2.2. Ce înscrisuri pot fi considerate „suspecte de fals”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Din cerere (și din discuțiile noastre) rezultă câteva tipuri de înscrisuri:</w:t>
      </w:r>
    </w:p>
    <w:p w:rsidR="009007C2" w:rsidRPr="009007C2" w:rsidRDefault="009007C2" w:rsidP="00900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Listele lunare de întreținere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generate în e-bloc, în care:</w:t>
      </w:r>
    </w:p>
    <w:p w:rsidR="009007C2" w:rsidRPr="009007C2" w:rsidRDefault="009007C2" w:rsidP="009007C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 apare niciodată rubrica „număr persoane” la repartizarea cheltuielilor unde legea o impune;</w:t>
      </w:r>
    </w:p>
    <w:p w:rsidR="009007C2" w:rsidRPr="009007C2" w:rsidRDefault="009007C2" w:rsidP="009007C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cota indiviză folosită pentru ap. 116 este 0,206 (nu 0,16 sau altă cotă justificată prin acte).</w:t>
      </w:r>
    </w:p>
    <w:p w:rsidR="009007C2" w:rsidRPr="009007C2" w:rsidRDefault="009007C2" w:rsidP="00900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Centralizatorul intern al cotelor indivize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(dacă există) – aparent necomunicat proprietarilor și nefundamentat pe o evidență completă (parcări, grădini etc.).</w:t>
      </w:r>
    </w:p>
    <w:p w:rsidR="009007C2" w:rsidRPr="009007C2" w:rsidRDefault="009007C2" w:rsidP="00900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Orice decizie/Hotărâre a Adunării Generale sau Comitetului Executiv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aprobă cote indivize și formule de repartizare fără o bază legală și factuală clară, dar care ulterior este folosită ca temei pentru emiterea listelor.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Dacă, de exemplu, în listele de întreținere apare explicit o coloană de tipul „Cota-parte indiviză: 0,206” sau un procent agregat, iar în realitate:</w:t>
      </w:r>
    </w:p>
    <w:p w:rsidR="009007C2" w:rsidRPr="009007C2" w:rsidRDefault="009007C2" w:rsidP="00900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lastRenderedPageBreak/>
        <w:t>nu există niciun calcul complet, bazat pe suprafețe reale și acte de proprietate;</w:t>
      </w:r>
    </w:p>
    <w:p w:rsidR="009007C2" w:rsidRPr="009007C2" w:rsidRDefault="009007C2" w:rsidP="00900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AP nu includ în calcul toate bunurile (locuri de parcare, grădini, boxe etc.);</w:t>
      </w:r>
    </w:p>
    <w:p w:rsidR="009007C2" w:rsidRPr="009007C2" w:rsidRDefault="009007C2" w:rsidP="00900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 suma cotelor pe tot ansamblul nu corespunde bazei legale,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atunci se conturează ipoteza că respectivele înscrisuri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atestă împrejurări necorespunzătoare adevărului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(nivelul cotei indivize și modul de repartizare) în vederea determinării obligațiilor de plată ale proprietarilor.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2.3. Fals intelectual sau fals în înscrisuri sub semnătură privată?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Aici există o discuție tehnică:</w:t>
      </w:r>
    </w:p>
    <w:p w:rsidR="009007C2" w:rsidRPr="009007C2" w:rsidRDefault="009007C2" w:rsidP="009007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Dacă se consideră 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lista de întreținere este „înscris oficial”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că președintele/administratorul AP este „funcționar public” în sens penal, atunci intră în discuție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falsul intelectual (art. 321 CP)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007C2" w:rsidRPr="009007C2" w:rsidRDefault="009007C2" w:rsidP="009007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Dacă se consideră 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 este persoană juridică de drept privat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iar listele sunt doar înscrisuri sub semnătură privată, atunci am avea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falsul în înscrisuri sub semnătură privată (art. 322 CP)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Calitatea de „funcționar public” în sens penal este definită la art. 175 CP. La alin. (2) se arată că:</w:t>
      </w:r>
    </w:p>
    <w:p w:rsidR="009007C2" w:rsidRPr="009007C2" w:rsidRDefault="009007C2" w:rsidP="009007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BE"/>
        </w:rPr>
        <w:t>este considerată funcţionar public, în sensul legii penale, persoana care exercită un serviciu de interes public pentru care a fost învestită de autorităţile publice sau care este supusă controlului ori supravegherii acestora cu privire la îndeplinirea respectivului serviciu public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”. (</w:t>
      </w:r>
      <w:hyperlink r:id="rId11" w:tooltip="Art. 175 Noul Cod Penal Funcţionar public Dispoziţii comune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fr-B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Doctrina și practica au reținut de multe ori 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persoanele care administrează fondurile unei asociaţii de proprietari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pot intra în sfera funcționarilor publicați sau asimilați în sens penal, tocmai pentru că gestionează bani colectați obligatoriu, în cadrul unui serviciu de interes public (locuire colectivă, utilități etc.).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2" w:tooltip="Delapidare: cum te aperi - Gunea Cabinet Avocat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Gunea Cabinet Avocat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Consecință practică:</w:t>
      </w:r>
    </w:p>
    <w:p w:rsidR="009007C2" w:rsidRPr="009007C2" w:rsidRDefault="009007C2" w:rsidP="00900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dacă Parchetul consideră că președintele/administratorul AP Residenz intră în art. 175 alin. (2) CP, atunci întocmirea listelor cu date nereale poate fi analizată ca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 intelectual (art. 321)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007C2" w:rsidRPr="009007C2" w:rsidRDefault="009007C2" w:rsidP="00900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dacă nu, rămâne varianta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fals în înscrisuri sub semnătură privată (art. 322)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combinat cu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uz de fals (art. 323)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atunci când listele sunt folosite pentru a încasa bani.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2.4. Unde se vede intenția (nu doar o simplă eroare contabilă)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Pentru ca fapta să fie penală, nu ajunge să existe o greșeală de calcul – trebuie să existe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intenție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(directă sau eventual indirectă):</w:t>
      </w:r>
    </w:p>
    <w:p w:rsidR="009007C2" w:rsidRPr="009007C2" w:rsidRDefault="009007C2" w:rsidP="00900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Ai arătat că,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de ani de zile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ceri justificarea cotei indivize și modul de repartizare; răspunsurile lipsesc sau sunt evazive.</w:t>
      </w:r>
    </w:p>
    <w:p w:rsidR="009007C2" w:rsidRPr="009007C2" w:rsidRDefault="009007C2" w:rsidP="00900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lastRenderedPageBreak/>
        <w:t>Cota ta indiviză a crescut de la 0,16 la 0,206 deși nu a intervenit nicio modificare a apartamentului tău, iar complexul s-a extins (ceea ce tinde să contrazică o creștere).</w:t>
      </w:r>
    </w:p>
    <w:p w:rsidR="009007C2" w:rsidRPr="009007C2" w:rsidRDefault="009007C2" w:rsidP="00900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În calculul cotei indivize nu se iau în considerare toate bunurile relevante ale celorlalți proprietari (parcări, grădini), deși statutul și legea cer includerea lor.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Toate acestea pot fi interp</w:t>
      </w:r>
      <w:bookmarkStart w:id="0" w:name="_GoBack"/>
      <w:bookmarkEnd w:id="0"/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retate ca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„atestate conștiente de împrejurări neadevărate”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în înscrisuri care produc consecințe juridice (obligația de plată), nu doar ca simple erori. Asta justifică, cel puțin la nivel de suspiciune, o sesizare penală pentru fals (intellectual sau sub semnătură privată) și uz de fals.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t>3. Posibile infracțiuni de serviciu (abuz în serviciu, delapidare) la nivelul AP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3.1. Abuz în serviciu – modul de calcul și refuzul sistematic de a respecta legea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Art. 297 CP – abuzul în serviciu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sancționează:</w:t>
      </w:r>
    </w:p>
    <w:p w:rsidR="009007C2" w:rsidRPr="009007C2" w:rsidRDefault="009007C2" w:rsidP="009007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BE"/>
        </w:rPr>
        <w:t>Fapta funcţionarului public care, în exercitarea atribuţiilor de serviciu, nu îndeplineşte un act sau îl îndeplineşte în mod defectuos [...] cauzând astfel o pagubă ori o vătămare a drepturilor sau intereselor legitime ale unei persoane fizice sau ale unei persoane juridice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”.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3" w:tooltip="Art. 297: Abuzul în serviciu - Codul Penal din 2009 (Legea ...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Sintact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lumina acestui text, se conturează următoarea ipoteză:</w:t>
      </w:r>
    </w:p>
    <w:p w:rsidR="009007C2" w:rsidRPr="009007C2" w:rsidRDefault="009007C2" w:rsidP="00900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Obligațiile legale ale conducerii AP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 aplice Legea nr. 196/2018 și Statutul, repartizând anumite cheltuieli pe număr de persoane, nu pe cotă indiviză;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să calculeze cota indiviză conform actelor de proprietate și documentației cadastrale, incluzând toate bunurile;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să răspundă la cererile scrise ale proprietarilor și să le pună la dispoziție documentele asociației.</w:t>
      </w:r>
    </w:p>
    <w:p w:rsidR="009007C2" w:rsidRPr="009007C2" w:rsidRDefault="009007C2" w:rsidP="00900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Comportamentul descris în cerere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de ani de zile, AP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nu îndeplinește aceste acte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(nu face repartiție pe persoane, nu comunică și nu corectează CPI, nu transmite evidențe complete);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face și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acte îndeplinite „defectuos”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în sensul că aplică formule de repartizare contrare legii și statutului.</w:t>
      </w:r>
    </w:p>
    <w:p w:rsidR="009007C2" w:rsidRPr="009007C2" w:rsidRDefault="009007C2" w:rsidP="00900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Urmarea – pagubă și vătămare de drepturi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: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tu ești obligat să plătești în mod repetat sume mai mari decât ar fi legal, deci există o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pagubă patrimonială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;</w:t>
      </w:r>
    </w:p>
    <w:p w:rsidR="009007C2" w:rsidRPr="009007C2" w:rsidRDefault="009007C2" w:rsidP="009007C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îți este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vătămat dreptul legal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de a avea cheltuieli repartizate conform legii și de a avea acces la documente.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Dacă se ajunge la concluzia că președintele/administratorul AP sunt „funcționari publici” în sens penal (art. 175 alin. 2), atunci modul în care au ignorat sistematic cererile, au refuzat să aplice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lastRenderedPageBreak/>
        <w:t xml:space="preserve">explicit art. 82 din Legea 196/2018 și prevederile Statutului și au menținut un sistem de calcul vădit nelegal poate fi încadrat la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abuz în serviciu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. (</w:t>
      </w:r>
      <w:hyperlink r:id="rId14" w:tooltip="Art. 175 Noul Cod Penal Funcţionar public Dispoziţii comune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fr-B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Chiar dacă organele penale ar fi prudente (jurisprudența CCR pe abuz în serviciu este restrictivă), contextul „asociație de proprietari + sume colectate obligatoriu + control al Primăriei” merge exact în direcția infracțiunilor de serviciu.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3.2. Delapidare – folosirea banilor proprietarilor în alte scopuri (sponsorizări, cheltuieli fără bază)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Art. 295 CP – delapidare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incriminează:</w:t>
      </w:r>
    </w:p>
    <w:p w:rsidR="009007C2" w:rsidRPr="009007C2" w:rsidRDefault="009007C2" w:rsidP="009007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„</w:t>
      </w:r>
      <w:r w:rsidRPr="00EB24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BE"/>
        </w:rPr>
        <w:t>Însuşirea, folosirea sau traficarea de către un funcţionar public, în interesul său ori pentru altul, de bani, valori sau alte bunuri pe care le gestionează sau le administrează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”.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5" w:tooltip="Art. 295 Noul Cod Penal Delapidarea Infracţiuni de serviciu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discuțiile noastre anterioare (și din contractele de sponsorizare pe 2025):</w:t>
      </w:r>
    </w:p>
    <w:p w:rsidR="009007C2" w:rsidRPr="009007C2" w:rsidRDefault="009007C2" w:rsidP="00900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 Residenz a încheiat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contracte de „sponsorizare”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Fundația Pro Chitila, fundație a Primăriei Chitila, și a efectuat plăți în temeiul acestor contracte din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banii de întreținere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 proprietarilor.</w:t>
      </w:r>
    </w:p>
    <w:p w:rsidR="009007C2" w:rsidRPr="009007C2" w:rsidRDefault="009007C2" w:rsidP="00900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Există indicii că aceste contracte de „sponsorizare”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acopereau în realitate prestări servicii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(organizare de evenimente etc.), ceea ce înseamnă că au fost folosite formule juridice „cosmetizate” pentru a justifica ieșiri de bani care nu au legătură cu scopul asociației.</w:t>
      </w:r>
    </w:p>
    <w:p w:rsidR="009007C2" w:rsidRPr="009007C2" w:rsidRDefault="009007C2" w:rsidP="00900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În plus, Primăria Chitila este exact autoritatea care ar trebui să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coordoneze, îndrume și sancționeze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AP – ceea ce ridică un risc major de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conflict de interese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în deciziile de sponsorizare.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 se dovedește că:</w:t>
      </w:r>
    </w:p>
    <w:p w:rsidR="009007C2" w:rsidRPr="009007C2" w:rsidRDefault="009007C2" w:rsidP="00900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banii folosiți pentru „sponsorizare” provin din sumele de întreținere ale proprietarilor (nu din alte surse de venit ale AP),</w:t>
      </w:r>
    </w:p>
    <w:p w:rsidR="009007C2" w:rsidRPr="009007C2" w:rsidRDefault="009007C2" w:rsidP="00900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decidenții AP au știut că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asociația nu are dreptul să „doneze” sau să sponsorizeze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din aceste fonduri și totuși au făcut-o,</w:t>
      </w:r>
    </w:p>
    <w:p w:rsidR="009007C2" w:rsidRPr="009007C2" w:rsidRDefault="009007C2" w:rsidP="00900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prin aceste contracte s-au obținut beneficii de imagine sau avantaje pentru Primărie, pentru persoane din conducerea AP sau pentru alte grupuri,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atunci se conturează destul de clar o ipoteză de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delapidare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sau, în cel mai bun caz pentru ei, de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abuz în serviciu cu folos necuvenit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. (</w:t>
      </w:r>
      <w:hyperlink r:id="rId16" w:tooltip="Delapidare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fr-BE"/>
          </w:rPr>
          <w:t>Wikipedia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În plus, dacă în contracte/facturi s-au consemnat servicii fictive sau s-au denumit contracte de servicii drept „sponsorizare” pentru a evita procedurile legale, intră în joc din nou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falsul în înscrisuri și uzul de fals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.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lastRenderedPageBreak/>
        <w:t>4. Alte fapte discutate împreună și posibile încadrări penale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4.1. Lipsa cărții de imobil și refuzul sistematic al autorităților / AP de a o avea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Lipsa cărții de imobil (recunoscută în răspuns de președintele AP) are consecințe în:</w:t>
      </w:r>
    </w:p>
    <w:p w:rsidR="009007C2" w:rsidRPr="009007C2" w:rsidRDefault="009007C2" w:rsidP="009007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imposibilitatea de a determina corect numărul persoanelor care locuiesc efectiv în imobil,</w:t>
      </w:r>
    </w:p>
    <w:p w:rsidR="009007C2" w:rsidRPr="009007C2" w:rsidRDefault="009007C2" w:rsidP="009007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imposibilitatea de a repartiza legal cheltuielile pe persoane,</w:t>
      </w:r>
    </w:p>
    <w:p w:rsidR="009007C2" w:rsidRPr="009007C2" w:rsidRDefault="009007C2" w:rsidP="009007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lipsa unei evidențe minime impuse de legislația locativă.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mod direct, asta poate reprezenta:</w:t>
      </w:r>
    </w:p>
    <w:p w:rsidR="009007C2" w:rsidRPr="009007C2" w:rsidRDefault="009007C2" w:rsidP="009007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Abuz în serviciu sau neglijență în serviciu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pentru funcționari ai Primăriei/SPCLEP, dacă nu își îndeplinesc obligațiile prevăzute de lege în materia evidenței populației și a cărților de imobil; (</w:t>
      </w:r>
      <w:hyperlink r:id="rId17" w:tooltip="DECIZIA nr.283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ccr.ro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nivelul AP, poate fi parte din aceeași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schemă de abuz în serviciu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refuzul de a organiza și actualiza registrele obligatorii (carte imobil, registru proprietari etc.) ca să nu poată fi controlat real numărul de persoane, ceea ce permite menținerea repartizării exclusiv pe cotă indiviză.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este, de una singură, o „infracțiune beton”, dar, combinată cu restul, întărește ideea de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funcționare cu bună știință în afara cadrului legal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4.2. Nerespectarea sistematică a obligației de a răspunde la petiții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Faptul că:</w:t>
      </w:r>
    </w:p>
    <w:p w:rsidR="009007C2" w:rsidRPr="009007C2" w:rsidRDefault="009007C2" w:rsidP="009007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AP depășește constant termenele legale de răspuns la cereri,</w:t>
      </w:r>
    </w:p>
    <w:p w:rsidR="009007C2" w:rsidRPr="009007C2" w:rsidRDefault="009007C2" w:rsidP="009007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nu comunică documente esențiale (hotărâri AG, contracte, centralizatoare, extrase cont bancar),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în sine are regim mai curând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contravențional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(OG 27/2002, Legea 196/2018 – sancțiuni contravenționale).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Dar, în context penal, poate fi element de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intenție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pentru:</w:t>
      </w:r>
    </w:p>
    <w:p w:rsidR="009007C2" w:rsidRPr="009007C2" w:rsidRDefault="009007C2" w:rsidP="009007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abuz în serviciu (nu îndeplinesc un act prevăzut de lege – obligația de informare și transparență),</w:t>
      </w:r>
    </w:p>
    <w:p w:rsidR="009007C2" w:rsidRPr="009007C2" w:rsidRDefault="009007C2" w:rsidP="009007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acoperirea unor posibile fapte de fals/delapidare (ascund documente care ar dovedi modul nelegal de calcul și folosință a banilor).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t>5. Care sunt „zonele penale” cele mai promițătoare și ce ar trebui probat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Dacă aș încerca să ordonez faptele după „potențial penal” (nu după certitudine), rezultatul ar arăta cam așa: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(A) Foarte promițător penal, dacă aduni documentele</w:t>
      </w:r>
    </w:p>
    <w:p w:rsidR="009007C2" w:rsidRPr="009007C2" w:rsidRDefault="009007C2" w:rsidP="009007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Delapidare/abuz în serviciu prin sponsorizările către Fundația Pro Chitila</w:t>
      </w:r>
    </w:p>
    <w:p w:rsidR="009007C2" w:rsidRPr="009007C2" w:rsidRDefault="009007C2" w:rsidP="009007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Probe esențiale: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contractele de „sponsorizare” + facturile și ordinele de plată;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extrase de cont ale AP pe perioada acelor plăți;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hotărârile organelor de conducere ale AP care aprobă sponsorizările;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textele legale care interzic folosirea banilor de întreținere în alte scopuri;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eventuale legături personale/instituționale între conducerea AP și Primărie/Fundație.</w:t>
      </w:r>
    </w:p>
    <w:p w:rsidR="009007C2" w:rsidRPr="009007C2" w:rsidRDefault="009007C2" w:rsidP="009007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Posibile încadrări: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delapidare (art. 295 CP),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abuz în serviciu (art. 297 CP),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fals în înscrisuri și uz de fals dacă s-au prezentat contracte „cosmetizate”.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8" w:tooltip="Art. 295 Noul Cod Penal Delapidarea Infracţiuni de serviciu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Fals în înscrisuri + uz de fals prin listele de întreținere și centralizatoarele contei indivize</w:t>
      </w:r>
    </w:p>
    <w:p w:rsidR="009007C2" w:rsidRPr="009007C2" w:rsidRDefault="009007C2" w:rsidP="009007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Probe: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liste de întreținere pe mai mulți ani (ideal în format PDF e-bloc),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orice „tabel de calcul” al cotei indivize (dacă există),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documentația cadastrală și actele de proprietate (cote indivize reale),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răspunsurile (sau lipsa de răspuns) la solicitările tale scrise.</w:t>
      </w:r>
    </w:p>
    <w:p w:rsidR="009007C2" w:rsidRPr="009007C2" w:rsidRDefault="009007C2" w:rsidP="009007C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Posibile încadrări: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fals în înscrisuri sub semnătură privată (art. 322 CP) + uz de fals (art. 323 CP),</w:t>
      </w:r>
    </w:p>
    <w:p w:rsidR="009007C2" w:rsidRPr="009007C2" w:rsidRDefault="009007C2" w:rsidP="009007C2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 fals intelectual (art. 321 CP), dacă se acceptă caracterul de „înscris oficial” și calitatea de funcționar public a celor din AP. (</w:t>
      </w:r>
      <w:hyperlink r:id="rId19" w:tooltip="Capitolul III – Falsuri în înscrisuri – Codul penal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coduri.juridice.ro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(B) Relevante, dar mai „soft” penal și mai puternice civil/contravențional</w:t>
      </w:r>
    </w:p>
    <w:p w:rsidR="009007C2" w:rsidRPr="009007C2" w:rsidRDefault="009007C2" w:rsidP="009007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Abuz în serviciu prin refuzul de a aplica repartizarea pe număr de persoane și de a menține cartea de imobil/evidențe corecte</w:t>
      </w:r>
    </w:p>
    <w:p w:rsidR="009007C2" w:rsidRPr="009007C2" w:rsidRDefault="009007C2" w:rsidP="009007C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Aici există riscul ca fapta să fie tratată ca „simplă încălcare administrativă” sau „conflict civil”.</w:t>
      </w:r>
    </w:p>
    <w:p w:rsidR="009007C2" w:rsidRPr="009007C2" w:rsidRDefault="009007C2" w:rsidP="009007C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Totuși, dacă legiuitorul consideră că AP și conducerea ei intră în sfera art. 175 alin.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(2) CP, atunci refuzul sistematic de a aplica legea, în dauna zecilor de proprietari, poate fi încadrat la abuz în serviciu. 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20" w:tooltip="Art. 175 Noul Cod Penal Funcţionar public Dispoziţii comune" w:history="1">
        <w:r w:rsidRPr="00EB24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LegeAZ</w:t>
        </w:r>
      </w:hyperlink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007C2" w:rsidRPr="009007C2" w:rsidRDefault="009007C2" w:rsidP="009007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Comportamentul autorităților (Primărie, SPCLEP etc.)</w:t>
      </w:r>
    </w:p>
    <w:p w:rsidR="009007C2" w:rsidRPr="009007C2" w:rsidRDefault="009007C2" w:rsidP="009007C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Aici ai deja pe masă sesizări contravenționale/administrative.</w:t>
      </w:r>
    </w:p>
    <w:p w:rsidR="009007C2" w:rsidRPr="009007C2" w:rsidRDefault="009007C2" w:rsidP="009007C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Penal, abuzul/neglijența în serviciu e mai greu de dovedit fără un cumul de probe și fără a depăși pragurile și interpretările CCR pe art. 297.</w:t>
      </w:r>
    </w:p>
    <w:p w:rsidR="009007C2" w:rsidRPr="009007C2" w:rsidRDefault="009007C2" w:rsidP="00900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007C2" w:rsidRPr="009007C2" w:rsidRDefault="009007C2" w:rsidP="00900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007C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Concluzie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chemarea în judecată și din restul faptelor discutate, cele mai clare direcții penale posibile sunt:</w:t>
      </w:r>
    </w:p>
    <w:p w:rsidR="009007C2" w:rsidRPr="009007C2" w:rsidRDefault="009007C2" w:rsidP="009007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(1) Delapidare / abuz în serviciu legate de folosirea banilor de întreținere pentru sponsorizări către Fundația Pro Chitila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(inclusiv eventual conflict de interese);</w:t>
      </w:r>
    </w:p>
    <w:p w:rsidR="009007C2" w:rsidRPr="009007C2" w:rsidRDefault="009007C2" w:rsidP="009007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(2) Fals în înscrisuri (intelectual sau sub semnătură privată) și uz de fals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prin întocmirea și folosirea listelor de întreținere și a centralizatoarelor de cote indivize cu date neadevărate, în mod repetat, în pofida solicitărilor de corecție și transparență;</w:t>
      </w:r>
    </w:p>
    <w:p w:rsidR="009007C2" w:rsidRPr="009007C2" w:rsidRDefault="009007C2" w:rsidP="009007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(3) Abuz în serviciu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prin refuzul sistematic de a aplica Legea 196/2018 la repartizarea pe număr de persoane și de a pune la dispoziție documentele cerute de proprietari.</w:t>
      </w:r>
    </w:p>
    <w:p w:rsidR="009007C2" w:rsidRPr="009007C2" w:rsidRDefault="009007C2" w:rsidP="0090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Dacă vrei, în pasul următor pot să-ți structurez exact </w:t>
      </w:r>
      <w:r w:rsidRPr="00EB24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scheletul unei plângeri penale</w:t>
      </w:r>
      <w:r w:rsidRPr="00900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(sau mai multe, separate – ca să nu fie conexate automat cu dosarul civil) pe aceste trei direcții, cu formulări juridice și capete de cerere distincte.</w:t>
      </w:r>
    </w:p>
    <w:p w:rsidR="00D43DCF" w:rsidRPr="00EB2488" w:rsidRDefault="00D43DCF">
      <w:pPr>
        <w:rPr>
          <w:color w:val="000000" w:themeColor="text1"/>
          <w:lang w:val="fr-BE"/>
        </w:rPr>
      </w:pPr>
    </w:p>
    <w:sectPr w:rsidR="00D43DCF" w:rsidRPr="00EB2488"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1B" w:rsidRDefault="00E74F1B" w:rsidP="009007C2">
      <w:pPr>
        <w:spacing w:after="0" w:line="240" w:lineRule="auto"/>
      </w:pPr>
      <w:r>
        <w:separator/>
      </w:r>
    </w:p>
  </w:endnote>
  <w:endnote w:type="continuationSeparator" w:id="0">
    <w:p w:rsidR="00E74F1B" w:rsidRDefault="00E74F1B" w:rsidP="0090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607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7C2" w:rsidRDefault="009007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07C2" w:rsidRDefault="00900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1B" w:rsidRDefault="00E74F1B" w:rsidP="009007C2">
      <w:pPr>
        <w:spacing w:after="0" w:line="240" w:lineRule="auto"/>
      </w:pPr>
      <w:r>
        <w:separator/>
      </w:r>
    </w:p>
  </w:footnote>
  <w:footnote w:type="continuationSeparator" w:id="0">
    <w:p w:rsidR="00E74F1B" w:rsidRDefault="00E74F1B" w:rsidP="0090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898"/>
    <w:multiLevelType w:val="multilevel"/>
    <w:tmpl w:val="4F7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A5EDC"/>
    <w:multiLevelType w:val="multilevel"/>
    <w:tmpl w:val="CEF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F7085"/>
    <w:multiLevelType w:val="multilevel"/>
    <w:tmpl w:val="CE58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51183"/>
    <w:multiLevelType w:val="multilevel"/>
    <w:tmpl w:val="DFF0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D71BA"/>
    <w:multiLevelType w:val="multilevel"/>
    <w:tmpl w:val="7B8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73008"/>
    <w:multiLevelType w:val="multilevel"/>
    <w:tmpl w:val="B180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D1510"/>
    <w:multiLevelType w:val="multilevel"/>
    <w:tmpl w:val="5D9ED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1681A"/>
    <w:multiLevelType w:val="multilevel"/>
    <w:tmpl w:val="F5B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B71C4"/>
    <w:multiLevelType w:val="multilevel"/>
    <w:tmpl w:val="8D5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538B1"/>
    <w:multiLevelType w:val="multilevel"/>
    <w:tmpl w:val="5A1C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16209"/>
    <w:multiLevelType w:val="multilevel"/>
    <w:tmpl w:val="7DF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95717"/>
    <w:multiLevelType w:val="multilevel"/>
    <w:tmpl w:val="95B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C5593"/>
    <w:multiLevelType w:val="multilevel"/>
    <w:tmpl w:val="606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A0B9C"/>
    <w:multiLevelType w:val="multilevel"/>
    <w:tmpl w:val="3F7A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63050"/>
    <w:multiLevelType w:val="multilevel"/>
    <w:tmpl w:val="44E6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655B89"/>
    <w:multiLevelType w:val="multilevel"/>
    <w:tmpl w:val="BBC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1D1ED1"/>
    <w:multiLevelType w:val="multilevel"/>
    <w:tmpl w:val="D92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06ED1"/>
    <w:multiLevelType w:val="multilevel"/>
    <w:tmpl w:val="424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A4C62"/>
    <w:multiLevelType w:val="multilevel"/>
    <w:tmpl w:val="128C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18"/>
  </w:num>
  <w:num w:numId="11">
    <w:abstractNumId w:val="1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7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BB"/>
    <w:rsid w:val="002725BB"/>
    <w:rsid w:val="00367210"/>
    <w:rsid w:val="009007C2"/>
    <w:rsid w:val="00D43DCF"/>
    <w:rsid w:val="00E74F1B"/>
    <w:rsid w:val="00E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0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0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7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0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7C2"/>
    <w:rPr>
      <w:b/>
      <w:bCs/>
    </w:rPr>
  </w:style>
  <w:style w:type="character" w:styleId="Emphasis">
    <w:name w:val="Emphasis"/>
    <w:basedOn w:val="DefaultParagraphFont"/>
    <w:uiPriority w:val="20"/>
    <w:qFormat/>
    <w:rsid w:val="009007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07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C2"/>
  </w:style>
  <w:style w:type="paragraph" w:styleId="Footer">
    <w:name w:val="footer"/>
    <w:basedOn w:val="Normal"/>
    <w:link w:val="FooterChar"/>
    <w:uiPriority w:val="99"/>
    <w:unhideWhenUsed/>
    <w:rsid w:val="009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C2"/>
  </w:style>
  <w:style w:type="paragraph" w:styleId="BalloonText">
    <w:name w:val="Balloon Text"/>
    <w:basedOn w:val="Normal"/>
    <w:link w:val="BalloonTextChar"/>
    <w:uiPriority w:val="99"/>
    <w:semiHidden/>
    <w:unhideWhenUsed/>
    <w:rsid w:val="003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0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0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7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0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7C2"/>
    <w:rPr>
      <w:b/>
      <w:bCs/>
    </w:rPr>
  </w:style>
  <w:style w:type="character" w:styleId="Emphasis">
    <w:name w:val="Emphasis"/>
    <w:basedOn w:val="DefaultParagraphFont"/>
    <w:uiPriority w:val="20"/>
    <w:qFormat/>
    <w:rsid w:val="009007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07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C2"/>
  </w:style>
  <w:style w:type="paragraph" w:styleId="Footer">
    <w:name w:val="footer"/>
    <w:basedOn w:val="Normal"/>
    <w:link w:val="FooterChar"/>
    <w:uiPriority w:val="99"/>
    <w:unhideWhenUsed/>
    <w:rsid w:val="009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C2"/>
  </w:style>
  <w:style w:type="paragraph" w:styleId="BalloonText">
    <w:name w:val="Balloon Text"/>
    <w:basedOn w:val="Normal"/>
    <w:link w:val="BalloonTextChar"/>
    <w:uiPriority w:val="99"/>
    <w:semiHidden/>
    <w:unhideWhenUsed/>
    <w:rsid w:val="003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uri.juridice.ro/codul-penal/index.php/category/partea-speciala/titlul-vi-infractiuni-de-fals/capitolul-iii-falsuri-in-inscrisuri/?utm_source=chatgpt.com" TargetMode="External"/><Relationship Id="rId13" Type="http://schemas.openxmlformats.org/officeDocument/2006/relationships/hyperlink" Target="https://sintact.ro/legislatie/monitorul-oficial/codul-penal-din-2009-legea-nr-286-2009-16901302/art-297?utm_source=chatgpt.com" TargetMode="External"/><Relationship Id="rId18" Type="http://schemas.openxmlformats.org/officeDocument/2006/relationships/hyperlink" Target="https://legeaz.net/noul-cod-penal/art-295?utm_source=chatgpt.co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unea.ro/delapidare-cum-te-aperi/?utm_source=chatgpt.com" TargetMode="External"/><Relationship Id="rId17" Type="http://schemas.openxmlformats.org/officeDocument/2006/relationships/hyperlink" Target="https://www.ccr.ro/wp-content/uploads/2023/06/Decizie_283_2023.pdf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Delapidare?utm_source=chatgpt.com" TargetMode="External"/><Relationship Id="rId20" Type="http://schemas.openxmlformats.org/officeDocument/2006/relationships/hyperlink" Target="https://legeaz.net/noul-cod-penal/art-175?utm_source=chatgp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eaz.net/noul-cod-penal/art-175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az.net/noul-cod-penal/art-295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eaz.net/noul-cod-penal/art-323?utm_source=chatgpt.com" TargetMode="External"/><Relationship Id="rId19" Type="http://schemas.openxmlformats.org/officeDocument/2006/relationships/hyperlink" Target="https://coduri.juridice.ro/codul-penal/index.php/category/partea-speciala/titlul-vi-infractiuni-de-fals/capitolul-iii-falsuri-in-inscrisuri/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duri.juridice.ro/codul-penal/index.php/category/partea-speciala/titlul-vi-infractiuni-de-fals/capitolul-iii-falsuri-in-inscrisuri/?utm_source=chatgpt.com" TargetMode="External"/><Relationship Id="rId14" Type="http://schemas.openxmlformats.org/officeDocument/2006/relationships/hyperlink" Target="https://legeaz.net/noul-cod-penal/art-175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Dehelean</dc:creator>
  <cp:keywords/>
  <dc:description/>
  <cp:lastModifiedBy>Dragos Dehelean</cp:lastModifiedBy>
  <cp:revision>5</cp:revision>
  <cp:lastPrinted>2025-12-12T08:08:00Z</cp:lastPrinted>
  <dcterms:created xsi:type="dcterms:W3CDTF">2025-12-12T07:59:00Z</dcterms:created>
  <dcterms:modified xsi:type="dcterms:W3CDTF">2025-12-12T13:01:00Z</dcterms:modified>
</cp:coreProperties>
</file>